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9" w:rsidRDefault="008B1E5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 xml:space="preserve">На основу члана 132. став 7. </w:t>
      </w:r>
      <w:r>
        <w:rPr>
          <w:rFonts w:ascii="Times New Roman" w:hAnsi="Times New Roman" w:cs="Times New Roman"/>
          <w:i/>
          <w:sz w:val="24"/>
          <w:szCs w:val="24"/>
        </w:rPr>
        <w:t>Закона о стечају</w:t>
      </w:r>
      <w:r>
        <w:rPr>
          <w:rFonts w:ascii="Times New Roman" w:hAnsi="Times New Roman" w:cs="Times New Roman"/>
          <w:sz w:val="24"/>
          <w:szCs w:val="24"/>
        </w:rPr>
        <w:t xml:space="preserve"> </w:t>
      </w:r>
      <w:r>
        <w:rPr>
          <w:rFonts w:ascii="Times New Roman" w:hAnsi="Times New Roman" w:cs="Times New Roman"/>
          <w:i/>
          <w:sz w:val="24"/>
          <w:szCs w:val="24"/>
        </w:rPr>
        <w:t>(„Службени гласник РС“ бр. 104/2009, 99/2011, 71/2012, 83/2014, 113/2017, 44/2018 и 95/2018)</w:t>
      </w:r>
    </w:p>
    <w:p w:rsidR="00235219" w:rsidRDefault="00235219">
      <w:pPr>
        <w:spacing w:after="0" w:line="240" w:lineRule="auto"/>
        <w:jc w:val="center"/>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(Варош), ул. Савића млин бр. 9</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Расписује</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ОГЛАС</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ПРОДАЈУ ПРОДАЈНИХ ЦЕЛИНА СТЕЧАЈНОГ ДУЖНИКА </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ПУТЕМ ЈАВНОГ ПРИКУПЉАЊА ПОНУДА</w:t>
      </w: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Предмет продаје је имовина </w:t>
      </w:r>
      <w:r w:rsidR="00FC0190">
        <w:rPr>
          <w:rFonts w:ascii="Times New Roman" w:hAnsi="Times New Roman" w:cs="Times New Roman"/>
          <w:b/>
          <w:sz w:val="24"/>
          <w:szCs w:val="24"/>
        </w:rPr>
        <w:t>стечајног дужника, груписана у 3</w:t>
      </w:r>
      <w:r w:rsidR="000902C3">
        <w:rPr>
          <w:rFonts w:ascii="Times New Roman" w:hAnsi="Times New Roman" w:cs="Times New Roman"/>
          <w:b/>
          <w:sz w:val="24"/>
          <w:szCs w:val="24"/>
        </w:rPr>
        <w:t xml:space="preserve"> продајнe целине</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које се по </w:t>
      </w:r>
      <w:r w:rsidR="00FC0190">
        <w:rPr>
          <w:rFonts w:ascii="Times New Roman" w:hAnsi="Times New Roman" w:cs="Times New Roman"/>
          <w:b/>
          <w:sz w:val="24"/>
          <w:szCs w:val="24"/>
          <w:u w:val="single"/>
        </w:rPr>
        <w:t>трећи</w:t>
      </w:r>
      <w:r>
        <w:rPr>
          <w:rFonts w:ascii="Times New Roman" w:hAnsi="Times New Roman" w:cs="Times New Roman"/>
          <w:b/>
          <w:sz w:val="24"/>
          <w:szCs w:val="24"/>
          <w:u w:val="single"/>
        </w:rPr>
        <w:t xml:space="preserve"> пут као такве излажу јавној продаји</w:t>
      </w:r>
      <w:r>
        <w:rPr>
          <w:rFonts w:ascii="Times New Roman" w:hAnsi="Times New Roman" w:cs="Times New Roman"/>
          <w:b/>
          <w:sz w:val="24"/>
          <w:szCs w:val="24"/>
        </w:rPr>
        <w:t xml:space="preserve"> и то:</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1</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 xml:space="preserve">44.618.383,77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2.230.919,19</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1</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Остале зграде – млин са млиништем, објекат 7, ЛН 2592, КП 2883/1, КО Младеновац (варош), површине основе 367 м², површине објекта 1468 м², 1/1 власништво стечајног дужника, капацитет млевења 80т дневно.</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ВК4 Постоља за резервоаре поред зграде млина, површине основе 14м², површине објекта 14м², ванкњижно власништво стечајног дужника. са два метална силоса за брашно појединачног капацитета 100т.</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ВК7 Мостовна конструкција између млина и управне зграде, површине основе 30м², површине објекта 30м², ванкњижно власништво стечајног дужника.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ВК8 Гаража уз зграду млина, површине основе 22м², површине објекта 22м², ванкњижно власништво стечајног дужника. </w:t>
            </w:r>
          </w:p>
          <w:p w:rsidR="00235219" w:rsidRDefault="008B1E56" w:rsidP="00E75FFE">
            <w:pPr>
              <w:pStyle w:val="ListParagraph"/>
              <w:numPr>
                <w:ilvl w:val="0"/>
                <w:numId w:val="1"/>
              </w:numPr>
              <w:spacing w:after="0" w:line="240" w:lineRule="auto"/>
              <w:jc w:val="both"/>
            </w:pPr>
            <w:r>
              <w:rPr>
                <w:rFonts w:ascii="Times New Roman" w:hAnsi="Times New Roman" w:cs="Times New Roman"/>
                <w:sz w:val="24"/>
                <w:szCs w:val="24"/>
              </w:rPr>
              <w:t>Припадајућа опрема од које најважнију опрему чини: погонска трансмисија са 17 ременица металних, метални елеватори за брашно, дрвени пужни транспортер, метални елеватор за брашно, дрвени елеватор з</w:t>
            </w:r>
            <w:r w:rsidR="00E75FFE">
              <w:rPr>
                <w:rFonts w:ascii="Times New Roman" w:hAnsi="Times New Roman" w:cs="Times New Roman"/>
                <w:sz w:val="24"/>
                <w:szCs w:val="24"/>
              </w:rPr>
              <w:t>а сточно брашно, ваљне столиц</w:t>
            </w:r>
            <w:r w:rsidR="00E75FFE" w:rsidRPr="00E75FFE">
              <w:rPr>
                <w:rFonts w:ascii="Times New Roman" w:hAnsi="Times New Roman" w:cs="Times New Roman"/>
                <w:sz w:val="24"/>
                <w:szCs w:val="24"/>
              </w:rPr>
              <w:t>е,</w:t>
            </w:r>
            <w:r w:rsidRPr="00E75FFE">
              <w:rPr>
                <w:rFonts w:ascii="Times New Roman" w:hAnsi="Times New Roman" w:cs="Times New Roman"/>
                <w:sz w:val="24"/>
                <w:szCs w:val="24"/>
              </w:rPr>
              <w:t xml:space="preserve"> дрвене коморе за брашно од 15т, 20т и 35т,</w:t>
            </w:r>
            <w:r>
              <w:rPr>
                <w:rFonts w:ascii="Times New Roman" w:hAnsi="Times New Roman" w:cs="Times New Roman"/>
                <w:sz w:val="24"/>
                <w:szCs w:val="24"/>
              </w:rPr>
              <w:t xml:space="preserve"> гриз машине, дрвена комора за одлежано жито 25т, Силос за жито дрвени 100т, тријер метални, два метална силоса за брашно 100т.</w:t>
            </w:r>
          </w:p>
        </w:tc>
      </w:tr>
    </w:tbl>
    <w:p w:rsidR="00235219" w:rsidRDefault="00235219">
      <w:pPr>
        <w:spacing w:after="0" w:line="240" w:lineRule="auto"/>
        <w:jc w:val="both"/>
        <w:rPr>
          <w:rFonts w:ascii="Times New Roman" w:hAnsi="Times New Roman" w:cs="Times New Roman"/>
          <w:sz w:val="24"/>
          <w:szCs w:val="24"/>
        </w:rPr>
      </w:pPr>
    </w:p>
    <w:p w:rsidR="00235219" w:rsidRPr="000902C3" w:rsidRDefault="000902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2</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14.596.544,72</w:t>
      </w:r>
      <w:r w:rsidR="00FC0190">
        <w:rPr>
          <w:rFonts w:ascii="Times New Roman" w:hAnsi="Times New Roman" w:cs="Times New Roman"/>
          <w:b/>
          <w:bCs/>
          <w:sz w:val="24"/>
          <w:szCs w:val="24"/>
        </w:rPr>
        <w:t xml:space="preserve">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729.827,24</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tblPr>
      <w:tblGrid>
        <w:gridCol w:w="9622"/>
      </w:tblGrid>
      <w:tr w:rsidR="00235219">
        <w:tc>
          <w:tcPr>
            <w:tcW w:w="5000" w:type="pct"/>
            <w:vAlign w:val="center"/>
          </w:tcPr>
          <w:p w:rsidR="00235219" w:rsidRPr="000902C3"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Опис продајне целине </w:t>
            </w:r>
            <w:r w:rsidR="000902C3">
              <w:rPr>
                <w:rFonts w:ascii="Times New Roman" w:hAnsi="Times New Roman" w:cs="Times New Roman"/>
                <w:b/>
                <w:color w:val="000000"/>
                <w:sz w:val="24"/>
                <w:szCs w:val="24"/>
              </w:rPr>
              <w:t>2</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имовински комплекс који се састоји из покретне и непокретне имовине </w:t>
            </w:r>
            <w:r>
              <w:rPr>
                <w:rFonts w:ascii="Times New Roman" w:hAnsi="Times New Roman" w:cs="Times New Roman"/>
                <w:sz w:val="24"/>
                <w:szCs w:val="24"/>
              </w:rPr>
              <w:lastRenderedPageBreak/>
              <w:t>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Остале зграде – зграда за млин, објекат 5, ЛН 2592, КП 2883/1, КО Младеновац (варош), површине основе 837 м², површине објекта 1674 м², 1/1 власништво стечајног дужника, коју чини погон за производњу сточне хране. </w:t>
            </w:r>
          </w:p>
          <w:p w:rsidR="00235219" w:rsidRDefault="008B1E56">
            <w:pPr>
              <w:pStyle w:val="ListParagraph"/>
              <w:numPr>
                <w:ilvl w:val="0"/>
                <w:numId w:val="3"/>
              </w:numPr>
              <w:spacing w:after="0" w:line="240" w:lineRule="auto"/>
              <w:jc w:val="both"/>
            </w:pPr>
            <w:r>
              <w:rPr>
                <w:rFonts w:ascii="Times New Roman" w:hAnsi="Times New Roman" w:cs="Times New Roman"/>
                <w:sz w:val="24"/>
                <w:szCs w:val="24"/>
              </w:rPr>
              <w:t>Припадајућа опрема од које најзначајнију опрему чини: дрвена комора за сточно брашно са три испусна метална коша, Велики чекићар за сточну храну, дрвена комора за кукуруз 20Т, Линија за палетирање Палетар МК Бачки Јарак&amp;quot, палетна дробилица, хоризонтална мешаона, вертикална мешаона, компресор са 2 мотора 3кw.</w:t>
            </w:r>
          </w:p>
        </w:tc>
      </w:tr>
    </w:tbl>
    <w:p w:rsidR="009F07A8" w:rsidRDefault="009F07A8">
      <w:pPr>
        <w:spacing w:after="0" w:line="240" w:lineRule="auto"/>
        <w:jc w:val="center"/>
        <w:rPr>
          <w:rFonts w:ascii="Times New Roman" w:hAnsi="Times New Roman" w:cs="Times New Roman"/>
          <w:b/>
          <w:sz w:val="24"/>
          <w:szCs w:val="24"/>
        </w:rPr>
      </w:pPr>
    </w:p>
    <w:p w:rsidR="00235219" w:rsidRPr="000902C3" w:rsidRDefault="00650D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3</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 xml:space="preserve">226.131.147,89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11.306.557,39</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150.000,00 динара + ПДВ</w:t>
      </w:r>
    </w:p>
    <w:tbl>
      <w:tblPr>
        <w:tblStyle w:val="TableGrid"/>
        <w:tblW w:w="5000" w:type="pct"/>
        <w:tblLook w:val="04A0"/>
      </w:tblPr>
      <w:tblGrid>
        <w:gridCol w:w="9622"/>
      </w:tblGrid>
      <w:tr w:rsidR="00235219">
        <w:tc>
          <w:tcPr>
            <w:tcW w:w="5000" w:type="pct"/>
            <w:vAlign w:val="center"/>
          </w:tcPr>
          <w:p w:rsidR="00235219" w:rsidRPr="00FC0190"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Опис продајне целине </w:t>
            </w:r>
            <w:r w:rsidR="00FC0190">
              <w:rPr>
                <w:rFonts w:ascii="Times New Roman" w:hAnsi="Times New Roman" w:cs="Times New Roman"/>
                <w:b/>
                <w:color w:val="000000"/>
                <w:sz w:val="24"/>
                <w:szCs w:val="24"/>
              </w:rPr>
              <w:t>3</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Остале зграде – управна зграда, објекат 3, ЛН 2592, КП 2883/1, КО Младеновац (варош), површине основе 908 м², површине објекта 6356 м², 1/1 власништво стечајног дужника, а коју чини 8 канцеларија у приземљу и 6 канцеларија на спрату, пекара на петом спрату, погон за производњу лиснатог теста и хладњаче на четвртом спрату, пекара и пакерај на трећем спрату, магацински простор од 750м2 на другом спрату, погон за производњу кора на првом спрату.</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ВК10 Објекти нискоградње и инфраструктуре објекта, ванкњижно власништво стечајног дужника. </w:t>
            </w:r>
          </w:p>
          <w:p w:rsidR="00235219" w:rsidRDefault="008B1E56" w:rsidP="00F91B06">
            <w:pPr>
              <w:pStyle w:val="ListParagraph"/>
              <w:numPr>
                <w:ilvl w:val="0"/>
                <w:numId w:val="5"/>
              </w:numPr>
              <w:spacing w:after="0" w:line="240" w:lineRule="auto"/>
              <w:jc w:val="both"/>
            </w:pPr>
            <w:r>
              <w:rPr>
                <w:rFonts w:ascii="Times New Roman" w:hAnsi="Times New Roman" w:cs="Times New Roman"/>
                <w:sz w:val="24"/>
                <w:szCs w:val="24"/>
              </w:rPr>
              <w:t xml:space="preserve">Припадајућа опрема од које најзначајнију опрему чини: </w:t>
            </w:r>
            <w:r>
              <w:rPr>
                <w:rFonts w:ascii="Times New Roman" w:hAnsi="Times New Roman" w:cs="Times New Roman"/>
                <w:color w:val="000000"/>
                <w:sz w:val="24"/>
                <w:szCs w:val="24"/>
              </w:rPr>
              <w:t>(тунелск</w:t>
            </w:r>
            <w:r w:rsidR="00E75FFE">
              <w:rPr>
                <w:rFonts w:ascii="Times New Roman" w:hAnsi="Times New Roman" w:cs="Times New Roman"/>
                <w:color w:val="000000"/>
                <w:sz w:val="24"/>
                <w:szCs w:val="24"/>
              </w:rPr>
              <w:t>а пећ Minel-prehrambena oprema</w:t>
            </w:r>
            <w:r>
              <w:rPr>
                <w:rFonts w:ascii="Times New Roman" w:hAnsi="Times New Roman" w:cs="Times New Roman"/>
                <w:color w:val="000000"/>
                <w:sz w:val="24"/>
                <w:szCs w:val="24"/>
              </w:rPr>
              <w:t xml:space="preserve">, капацитета 1200 векни на час, етажна </w:t>
            </w:r>
            <w:r w:rsidR="00E75FFE">
              <w:rPr>
                <w:rFonts w:ascii="Times New Roman" w:hAnsi="Times New Roman" w:cs="Times New Roman"/>
                <w:color w:val="000000"/>
                <w:sz w:val="24"/>
                <w:szCs w:val="24"/>
              </w:rPr>
              <w:t>пећ Gostol-Gospan, тип: PP-34М</w:t>
            </w:r>
            <w:r w:rsidRPr="00E75FFE">
              <w:rPr>
                <w:rFonts w:ascii="Times New Roman" w:hAnsi="Times New Roman" w:cs="Times New Roman"/>
                <w:color w:val="000000"/>
                <w:sz w:val="24"/>
                <w:szCs w:val="24"/>
              </w:rPr>
              <w:t>,</w:t>
            </w:r>
            <w:r w:rsidR="00E75FFE">
              <w:rPr>
                <w:rFonts w:ascii="Times New Roman" w:hAnsi="Times New Roman" w:cs="Times New Roman"/>
                <w:color w:val="000000"/>
                <w:sz w:val="24"/>
                <w:szCs w:val="24"/>
              </w:rPr>
              <w:t xml:space="preserve"> ротационе</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Rotor plus 6585/G, ротацион</w:t>
            </w:r>
            <w:r w:rsidR="00E75F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Midimarket, ротациона пећ Locher-Reventa, ферментациона комора, машина за мешење теста Diosna</w:t>
            </w:r>
            <w:r w:rsidR="00E75FFE">
              <w:rPr>
                <w:rFonts w:ascii="Times New Roman" w:hAnsi="Times New Roman" w:cs="Times New Roman"/>
                <w:color w:val="000000"/>
                <w:sz w:val="24"/>
                <w:szCs w:val="24"/>
              </w:rPr>
              <w:t>, клипно усиснe делилицe</w:t>
            </w:r>
            <w:r>
              <w:rPr>
                <w:rFonts w:ascii="Times New Roman" w:hAnsi="Times New Roman" w:cs="Times New Roman"/>
                <w:color w:val="000000"/>
                <w:sz w:val="24"/>
                <w:szCs w:val="24"/>
              </w:rPr>
              <w:t xml:space="preserve"> Werner &amp; Pfleiderer, округљитељ Conika 116/91, котларница са два парна блок котла, топлотног капацитета 100-1000kW, линија за производњу штапића од теста Mini pan, фритеза за крофне Jufeba WW-S 20, са опремом, </w:t>
            </w:r>
            <w:bookmarkStart w:id="0" w:name="_GoBack"/>
            <w:bookmarkEnd w:id="0"/>
            <w:r>
              <w:rPr>
                <w:rFonts w:ascii="Times New Roman" w:hAnsi="Times New Roman" w:cs="Times New Roman"/>
                <w:color w:val="000000"/>
                <w:sz w:val="24"/>
                <w:szCs w:val="24"/>
              </w:rPr>
              <w:t>расхладна пулсна комора, линија за израду кифли Koenig tehnology. линија за израду производа од лиснатог теста Polyline, тип PMML112.B, са додатном опремом, аутоматски ламинатор теста Fritsch, ман</w:t>
            </w:r>
            <w:r w:rsidR="00F91B06">
              <w:rPr>
                <w:rFonts w:ascii="Times New Roman" w:hAnsi="Times New Roman" w:cs="Times New Roman"/>
                <w:color w:val="000000"/>
                <w:sz w:val="24"/>
                <w:szCs w:val="24"/>
              </w:rPr>
              <w:t>уелни ламинатор теста Bonngard</w:t>
            </w:r>
            <w:r>
              <w:rPr>
                <w:rFonts w:ascii="Times New Roman" w:hAnsi="Times New Roman" w:cs="Times New Roman"/>
                <w:color w:val="000000"/>
                <w:sz w:val="24"/>
                <w:szCs w:val="24"/>
              </w:rPr>
              <w:t>, п</w:t>
            </w:r>
            <w:r w:rsidR="00F91B06">
              <w:rPr>
                <w:rFonts w:ascii="Times New Roman" w:hAnsi="Times New Roman" w:cs="Times New Roman"/>
                <w:color w:val="000000"/>
                <w:sz w:val="24"/>
                <w:szCs w:val="24"/>
              </w:rPr>
              <w:t>акерица са косим транспортером</w:t>
            </w:r>
            <w:r>
              <w:rPr>
                <w:rFonts w:ascii="Times New Roman" w:hAnsi="Times New Roman" w:cs="Times New Roman"/>
                <w:color w:val="000000"/>
                <w:sz w:val="24"/>
                <w:szCs w:val="24"/>
              </w:rPr>
              <w:t>, шок комора, температурног режима -30°С. тунелск</w:t>
            </w:r>
            <w:r w:rsidR="00F91B06">
              <w:rPr>
                <w:rFonts w:ascii="Times New Roman" w:hAnsi="Times New Roman" w:cs="Times New Roman"/>
                <w:color w:val="000000"/>
                <w:sz w:val="24"/>
                <w:szCs w:val="24"/>
              </w:rPr>
              <w:t>а пећ Minel-prehrambena oprema, капацитета 1800 векни на час</w:t>
            </w:r>
            <w:r>
              <w:rPr>
                <w:rFonts w:ascii="Times New Roman" w:hAnsi="Times New Roman" w:cs="Times New Roman"/>
                <w:color w:val="000000"/>
                <w:sz w:val="24"/>
                <w:szCs w:val="24"/>
              </w:rPr>
              <w:t>, округљитељ Werner &amp; Pfleiderer, интермедијална ко</w:t>
            </w:r>
            <w:r w:rsidR="00F91B06">
              <w:rPr>
                <w:rFonts w:ascii="Times New Roman" w:hAnsi="Times New Roman" w:cs="Times New Roman"/>
                <w:color w:val="000000"/>
                <w:sz w:val="24"/>
                <w:szCs w:val="24"/>
              </w:rPr>
              <w:t>мора, машина за роловање хлеба</w:t>
            </w:r>
            <w:r>
              <w:rPr>
                <w:rFonts w:ascii="Times New Roman" w:hAnsi="Times New Roman" w:cs="Times New Roman"/>
                <w:color w:val="000000"/>
                <w:sz w:val="24"/>
                <w:szCs w:val="24"/>
              </w:rPr>
              <w:t>, хлеборезница - 3 комада, пакерица Ilapak delta, варилица и вакумирка - 2 комада, сто за производњу кора са покретним ваљком, сто за производњу кора са ваљком – 2 комада, миксер за тесто, хладњача са минусним температурним режимом. транспортна трака за паковање хлеба, машина за прање корпи Hobart, казан за прање плехова. итд</w:t>
            </w:r>
            <w:r w:rsidR="00F91B06">
              <w:rPr>
                <w:rFonts w:ascii="Times New Roman" w:hAnsi="Times New Roman" w:cs="Times New Roman"/>
                <w:color w:val="000000"/>
              </w:rPr>
              <w:t>.)</w:t>
            </w:r>
            <w:r w:rsidR="00F91B06" w:rsidRPr="00F91B06">
              <w:rPr>
                <w:rFonts w:ascii="Times New Roman" w:hAnsi="Times New Roman" w:cs="Times New Roman"/>
                <w:color w:val="000000"/>
              </w:rPr>
              <w:t xml:space="preserve">, </w:t>
            </w:r>
            <w:r w:rsidR="00F91B06" w:rsidRPr="00F91B06">
              <w:rPr>
                <w:rFonts w:ascii="Times New Roman" w:hAnsi="Times New Roman" w:cs="Times New Roman"/>
                <w:color w:val="000000"/>
                <w:sz w:val="24"/>
                <w:szCs w:val="24"/>
              </w:rPr>
              <w:t>плусне и минусне коморе</w:t>
            </w:r>
            <w:r w:rsidR="00F91B06" w:rsidRPr="00F91B06">
              <w:rPr>
                <w:rFonts w:ascii="Times New Roman" w:hAnsi="Times New Roman" w:cs="Times New Roman"/>
                <w:color w:val="000000"/>
              </w:rPr>
              <w:t>.</w:t>
            </w:r>
          </w:p>
        </w:tc>
      </w:tr>
    </w:tbl>
    <w:p w:rsidR="00235219" w:rsidRPr="000902C3"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Напомена: Процењена вредност није минимално прихватљива вредност, нити је на било који други начин обавезујућа или опредељујући за понуђача приликом одређивања висине понуде.</w:t>
      </w:r>
    </w:p>
    <w:p w:rsidR="00235219" w:rsidRDefault="00235219">
      <w:pPr>
        <w:spacing w:after="0" w:line="240" w:lineRule="auto"/>
        <w:jc w:val="both"/>
        <w:rPr>
          <w:rFonts w:ascii="Times New Roman" w:hAnsi="Times New Roman" w:cs="Times New Roman"/>
          <w:sz w:val="24"/>
          <w:szCs w:val="24"/>
        </w:rPr>
      </w:pPr>
    </w:p>
    <w:p w:rsidR="00235219" w:rsidRDefault="00B80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1E56">
        <w:rPr>
          <w:rFonts w:ascii="Times New Roman" w:hAnsi="Times New Roman" w:cs="Times New Roman"/>
          <w:sz w:val="24"/>
          <w:szCs w:val="24"/>
        </w:rPr>
        <w:t xml:space="preserve">Право учешћа у поступку продаје имају сва правна и физичка лица која: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Откупе продајну документацију</w:t>
      </w:r>
      <w:r>
        <w:rPr>
          <w:rFonts w:ascii="Times New Roman" w:hAnsi="Times New Roman" w:cs="Times New Roman"/>
          <w:sz w:val="24"/>
          <w:szCs w:val="24"/>
        </w:rPr>
        <w:t xml:space="preserve"> (рок за откуп продајне документације је </w:t>
      </w:r>
      <w:r w:rsidR="00FC0190">
        <w:rPr>
          <w:rFonts w:ascii="Times New Roman" w:hAnsi="Times New Roman" w:cs="Times New Roman"/>
          <w:b/>
          <w:sz w:val="24"/>
          <w:szCs w:val="24"/>
        </w:rPr>
        <w:t>13</w:t>
      </w:r>
      <w:r w:rsidR="00FC0190">
        <w:rPr>
          <w:rFonts w:ascii="Times New Roman" w:hAnsi="Times New Roman" w:cs="Times New Roman"/>
          <w:b/>
          <w:bCs/>
          <w:sz w:val="24"/>
          <w:szCs w:val="24"/>
        </w:rPr>
        <w:t>.01</w:t>
      </w:r>
      <w:r>
        <w:rPr>
          <w:rFonts w:ascii="Times New Roman" w:hAnsi="Times New Roman" w:cs="Times New Roman"/>
          <w:b/>
          <w:bCs/>
          <w:sz w:val="24"/>
          <w:szCs w:val="24"/>
        </w:rPr>
        <w:t>.202</w:t>
      </w:r>
      <w:r w:rsidR="00FC0190">
        <w:rPr>
          <w:rFonts w:ascii="Times New Roman" w:hAnsi="Times New Roman" w:cs="Times New Roman"/>
          <w:b/>
          <w:bCs/>
          <w:sz w:val="24"/>
          <w:szCs w:val="24"/>
        </w:rPr>
        <w:t>5</w:t>
      </w:r>
      <w:r>
        <w:rPr>
          <w:rFonts w:ascii="Times New Roman" w:hAnsi="Times New Roman" w:cs="Times New Roman"/>
          <w:sz w:val="24"/>
          <w:szCs w:val="24"/>
        </w:rPr>
        <w:t>. године). Продајна  документација се купује за сваку продајну целину посебно.</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Уплате депозит,</w:t>
      </w:r>
      <w:r>
        <w:rPr>
          <w:rFonts w:ascii="Times New Roman" w:hAnsi="Times New Roman" w:cs="Times New Roman"/>
          <w:sz w:val="24"/>
          <w:szCs w:val="24"/>
        </w:rPr>
        <w:t xml:space="preserve"> посебно за сваку појединачну продајну целину за коју је лице заинтересовано, на рачун стечајног дужника, сагласно инструкцијама стечајног дужника за уплату или положе неопозиву првокласну банкарску гаранцију наплативу на први позив, најкасније и закључно са </w:t>
      </w:r>
      <w:r w:rsidR="00163AE0">
        <w:rPr>
          <w:rFonts w:ascii="Times New Roman" w:hAnsi="Times New Roman" w:cs="Times New Roman"/>
          <w:b/>
          <w:sz w:val="24"/>
          <w:szCs w:val="24"/>
        </w:rPr>
        <w:t>14</w:t>
      </w:r>
      <w:r w:rsidR="00163AE0">
        <w:rPr>
          <w:rFonts w:ascii="Times New Roman" w:hAnsi="Times New Roman" w:cs="Times New Roman"/>
          <w:b/>
          <w:bCs/>
          <w:sz w:val="24"/>
          <w:szCs w:val="24"/>
        </w:rPr>
        <w:t>.01.2025</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У случају да се као депозит положи првокласна банкарска гаранција, оригинал исте се ради провере мора доставити искључиво лично сараднику стечајног управника уз претходну најаву, најкасније до </w:t>
      </w:r>
      <w:r w:rsidR="00FC0190">
        <w:rPr>
          <w:rFonts w:ascii="Times New Roman" w:hAnsi="Times New Roman" w:cs="Times New Roman"/>
          <w:b/>
          <w:sz w:val="24"/>
          <w:szCs w:val="24"/>
        </w:rPr>
        <w:t>14</w:t>
      </w:r>
      <w:r w:rsidR="00FC0190">
        <w:rPr>
          <w:rFonts w:ascii="Times New Roman" w:hAnsi="Times New Roman" w:cs="Times New Roman"/>
          <w:b/>
          <w:bCs/>
          <w:sz w:val="24"/>
          <w:szCs w:val="24"/>
        </w:rPr>
        <w:t>.01.2025</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до 15:00 </w:t>
      </w:r>
      <w:r>
        <w:rPr>
          <w:rFonts w:ascii="Times New Roman" w:hAnsi="Times New Roman" w:cs="Times New Roman"/>
          <w:bCs/>
          <w:sz w:val="24"/>
          <w:szCs w:val="24"/>
        </w:rPr>
        <w:t>часова</w:t>
      </w:r>
      <w:r>
        <w:rPr>
          <w:rFonts w:ascii="Times New Roman" w:hAnsi="Times New Roman" w:cs="Times New Roman"/>
          <w:sz w:val="24"/>
          <w:szCs w:val="24"/>
        </w:rPr>
        <w:t xml:space="preserve"> по Београдском времену. Банкарска гаранција мора имати рок важења </w:t>
      </w:r>
      <w:r w:rsidR="00FC0190">
        <w:rPr>
          <w:rFonts w:ascii="Times New Roman" w:hAnsi="Times New Roman" w:cs="Times New Roman"/>
          <w:b/>
          <w:bCs/>
          <w:sz w:val="24"/>
          <w:szCs w:val="24"/>
        </w:rPr>
        <w:t xml:space="preserve">до </w:t>
      </w:r>
      <w:r w:rsidR="00163AE0">
        <w:rPr>
          <w:rFonts w:ascii="Times New Roman" w:hAnsi="Times New Roman" w:cs="Times New Roman"/>
          <w:b/>
          <w:bCs/>
          <w:sz w:val="24"/>
          <w:szCs w:val="24"/>
        </w:rPr>
        <w:t>18</w:t>
      </w:r>
      <w:r w:rsidR="00FC0190">
        <w:rPr>
          <w:rFonts w:ascii="Times New Roman" w:hAnsi="Times New Roman" w:cs="Times New Roman"/>
          <w:b/>
          <w:bCs/>
          <w:sz w:val="24"/>
          <w:szCs w:val="24"/>
        </w:rPr>
        <w:t>.03.2025</w:t>
      </w:r>
      <w:r>
        <w:rPr>
          <w:rFonts w:ascii="Times New Roman" w:hAnsi="Times New Roman" w:cs="Times New Roman"/>
          <w:b/>
          <w:bCs/>
          <w:sz w:val="24"/>
          <w:szCs w:val="24"/>
        </w:rPr>
        <w:t>. године</w:t>
      </w:r>
      <w:r>
        <w:rPr>
          <w:rFonts w:ascii="Times New Roman" w:hAnsi="Times New Roman" w:cs="Times New Roman"/>
          <w:sz w:val="24"/>
          <w:szCs w:val="24"/>
        </w:rPr>
        <w:t xml:space="preserve">.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Потпишу и овере Пријаву за учешће у поступку јавног прикупљања понуда посебно за сваку појединачну продајну целину за коју је лице заинтересовано, као и Изјаву о одрицању од права на повраћај депозита у случају поступања супротно прецизираним условима, односно о сагласности да ће банкарска гаранција бити наплаћена, у прописаним случајевима, Изјаву којом се одричу права на било какву накнадну жалбу, примедбу или рекламацију, будући да се имовина продаје у виђеном стању (ове Изјаве чине саставни део продајне документације), доставе извод из регистра привредних субјеката и ОП образац (ако се као потенцијални купац пријављује правно лице), овлашћење за заступање, односно, предузимање конкретних радњи у поступку продаје (за пуномоћника).</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Доставе затворену писану понуду, посебно за сваку појединачну продајну целину за коју је лице заинтересовано, најкасније и закључно са </w:t>
      </w:r>
      <w:r w:rsidR="00FC0190">
        <w:rPr>
          <w:rFonts w:ascii="Times New Roman" w:hAnsi="Times New Roman" w:cs="Times New Roman"/>
          <w:b/>
          <w:sz w:val="24"/>
          <w:szCs w:val="24"/>
        </w:rPr>
        <w:t>16.01.2025</w:t>
      </w:r>
      <w:r>
        <w:rPr>
          <w:rFonts w:ascii="Times New Roman" w:hAnsi="Times New Roman" w:cs="Times New Roman"/>
          <w:b/>
          <w:sz w:val="24"/>
          <w:szCs w:val="24"/>
        </w:rPr>
        <w:t>. године</w:t>
      </w:r>
      <w:r>
        <w:rPr>
          <w:rFonts w:ascii="Times New Roman" w:hAnsi="Times New Roman" w:cs="Times New Roman"/>
          <w:sz w:val="24"/>
          <w:szCs w:val="24"/>
        </w:rPr>
        <w:t xml:space="preserve"> </w:t>
      </w:r>
      <w:r>
        <w:rPr>
          <w:rFonts w:ascii="Times New Roman" w:hAnsi="Times New Roman" w:cs="Times New Roman"/>
          <w:b/>
          <w:sz w:val="24"/>
          <w:szCs w:val="24"/>
        </w:rPr>
        <w:t>до 11,45 часова</w:t>
      </w:r>
      <w:r>
        <w:rPr>
          <w:rFonts w:ascii="Times New Roman" w:hAnsi="Times New Roman" w:cs="Times New Roman"/>
          <w:sz w:val="24"/>
          <w:szCs w:val="24"/>
        </w:rPr>
        <w:t>, на адресу седишта стечајног дужника, у Младеновцу, ул. Савића млин бр. 9. На коверти мора да стоји ознака продајне целине на коју се понуда односи.</w:t>
      </w:r>
    </w:p>
    <w:p w:rsidR="00235219" w:rsidRDefault="008B1E5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Понуде приспеле после наведеног рока се неће примати.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Усмене понуде стечајни управник неће узимати у разматрање.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Имовина се купује у виђеном стању а може се разгледати након откупа продајне документације сваког радног дана у периоду од 10:00 до 15:00 часова, а најкасније до </w:t>
      </w:r>
      <w:r w:rsidR="00163AE0">
        <w:rPr>
          <w:rFonts w:ascii="Times New Roman" w:hAnsi="Times New Roman" w:cs="Times New Roman"/>
          <w:b/>
          <w:sz w:val="24"/>
          <w:szCs w:val="24"/>
        </w:rPr>
        <w:t>14</w:t>
      </w:r>
      <w:r w:rsidR="00163AE0">
        <w:rPr>
          <w:rFonts w:ascii="Times New Roman" w:hAnsi="Times New Roman" w:cs="Times New Roman"/>
          <w:b/>
          <w:bCs/>
          <w:sz w:val="24"/>
          <w:szCs w:val="24"/>
        </w:rPr>
        <w:t>.01.2025</w:t>
      </w:r>
      <w:r>
        <w:rPr>
          <w:rFonts w:ascii="Times New Roman" w:hAnsi="Times New Roman" w:cs="Times New Roman"/>
          <w:b/>
          <w:bCs/>
          <w:sz w:val="24"/>
          <w:szCs w:val="24"/>
        </w:rPr>
        <w:t>.године</w:t>
      </w:r>
      <w:r>
        <w:rPr>
          <w:rFonts w:ascii="Times New Roman" w:hAnsi="Times New Roman" w:cs="Times New Roman"/>
          <w:sz w:val="24"/>
          <w:szCs w:val="24"/>
        </w:rPr>
        <w:t xml:space="preserve"> (уз претходну најаву сараднику стечајног управника).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 понуде се достављају у писаној форми, у запечаћенoj/затвореној коверти. </w:t>
      </w:r>
    </w:p>
    <w:p w:rsidR="00235219" w:rsidRDefault="008B1E5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Запечаћена/затворена коверта треба да садржи потписану и оверену понуду, уз навођење јасно одређеног износа за куповину предмета продаје.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235219" w:rsidRDefault="00235219">
      <w:pPr>
        <w:spacing w:after="0" w:line="240" w:lineRule="auto"/>
        <w:jc w:val="both"/>
        <w:rPr>
          <w:rFonts w:ascii="Times New Roman" w:hAnsi="Times New Roman" w:cs="Times New Roman"/>
          <w:b/>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Јавно от</w:t>
      </w:r>
      <w:r w:rsidR="00FC0190">
        <w:rPr>
          <w:rFonts w:ascii="Times New Roman" w:hAnsi="Times New Roman" w:cs="Times New Roman"/>
          <w:b/>
          <w:sz w:val="24"/>
          <w:szCs w:val="24"/>
        </w:rPr>
        <w:t>варања понуда одржаће се дана 16.01.2025</w:t>
      </w:r>
      <w:r>
        <w:rPr>
          <w:rFonts w:ascii="Times New Roman" w:hAnsi="Times New Roman" w:cs="Times New Roman"/>
          <w:b/>
          <w:sz w:val="24"/>
          <w:szCs w:val="24"/>
        </w:rPr>
        <w:t>. године у 12:00 часова на следећој адреси: Маковица АД у стечају, ул. Савића млин бр. 9, Младеновац.</w:t>
      </w:r>
    </w:p>
    <w:p w:rsidR="00235219" w:rsidRDefault="008B1E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t>Позивају се понуђачи, као и чланови одбора поверилаца да присуствују отварању приспелих понуда. Отварању понуда приступиће се и ако чланови одбора поверилаца или неко од понуђача не присуствују продаји.</w:t>
      </w:r>
    </w:p>
    <w:p w:rsidR="00235219" w:rsidRDefault="00235219">
      <w:pPr>
        <w:spacing w:after="0" w:line="240" w:lineRule="auto"/>
        <w:jc w:val="both"/>
        <w:rPr>
          <w:rFonts w:ascii="Times New Roman" w:hAnsi="Times New Roman" w:cs="Times New Roman"/>
          <w:b/>
          <w:bCs/>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спроводи јавно прикупљање понуда тако што:</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оглашава продају јавним прикупљањем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прикупља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отвара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рангира понуђаче према висини достављених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проглашава најбољег понуђача;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закључује купопродајни уговор са проглашеним купцем.</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 случају да на јавном прикупљању понуда победи учесник који је депозит обезбедио банкарском гаранцијом, исти мора уплатити износ депозита на рачун стечајног дужника у року од два радна дана од дана одржавања јавног прикупљања понуда, а пре потписивања купопродајног уговора, након чега ће му бити враћена гаранција;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случају да је понуђена цена мања од 50% процењене вредности конкретне продајне целине, стечајни управник је дужан да такву понуду достави Одбору поверилаца, разлучним/заложним повериоцима који на тој конкретној продајној целини имају разлучно, односно заложно право, а продаја се може спровести ако је исти одобре сходно члану 136 в Закона о стечају. </w:t>
      </w:r>
    </w:p>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Закључењу купопродајног уговора се приступа </w:t>
      </w:r>
      <w:r>
        <w:rPr>
          <w:rFonts w:ascii="Times New Roman" w:hAnsi="Times New Roman" w:cs="Times New Roman"/>
          <w:b/>
          <w:sz w:val="24"/>
          <w:szCs w:val="24"/>
        </w:rPr>
        <w:t>у року од 3 (три) радна дана</w:t>
      </w:r>
      <w:r>
        <w:rPr>
          <w:rFonts w:ascii="Times New Roman" w:hAnsi="Times New Roman" w:cs="Times New Roman"/>
          <w:sz w:val="24"/>
          <w:szCs w:val="24"/>
        </w:rPr>
        <w:t xml:space="preserve"> од дана одржавања јавног прикупљања понуда, односно у случају да је понуђена цена мања од 50% процењене вредности конкретне продајне целине, у року од 3 радна дана од дана добијања потребних сагласности. Проглашени Купац је дужан да </w:t>
      </w:r>
      <w:r>
        <w:rPr>
          <w:rFonts w:ascii="Times New Roman" w:hAnsi="Times New Roman" w:cs="Times New Roman"/>
          <w:b/>
          <w:sz w:val="24"/>
          <w:szCs w:val="24"/>
        </w:rPr>
        <w:t>уплати преостали износ купопродајне цене у року од 15 (петнаест) дана</w:t>
      </w:r>
      <w:r>
        <w:rPr>
          <w:rFonts w:ascii="Times New Roman" w:hAnsi="Times New Roman" w:cs="Times New Roman"/>
          <w:sz w:val="24"/>
          <w:szCs w:val="24"/>
        </w:rPr>
        <w:t xml:space="preserve"> од дана закључења купопродајног уговора. </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Учесницима који на јавном прикупљању понуда нису стекли статус купца, депозит (гаранција) се враћа у року од 3 радна дана од дана одржавања јавног прикупљања понуда. Уплатилац депозита губи право на</w:t>
      </w:r>
      <w:r>
        <w:rPr>
          <w:rFonts w:ascii="Times New Roman" w:hAnsi="Times New Roman" w:cs="Times New Roman"/>
          <w:color w:val="FF0000"/>
          <w:sz w:val="24"/>
          <w:szCs w:val="24"/>
        </w:rPr>
        <w:t xml:space="preserve"> </w:t>
      </w:r>
      <w:r>
        <w:rPr>
          <w:rFonts w:ascii="Times New Roman" w:hAnsi="Times New Roman" w:cs="Times New Roman"/>
          <w:sz w:val="24"/>
          <w:szCs w:val="24"/>
        </w:rPr>
        <w:t>повраћај депозита у складу са Изјавом о губитку права на повраћај депозита.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и све остале овде посебно непоменуте трошкове који произилазе и/или су у вези са закључењем купопродајног уговора сноси купац.</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Јелена Белосавић-Секуловски, контакт особа - Драган Боројевић</w:t>
      </w:r>
      <w:r>
        <w:rPr>
          <w:rFonts w:ascii="Times New Roman" w:hAnsi="Times New Roman" w:cs="Times New Roman"/>
          <w:b/>
          <w:sz w:val="24"/>
          <w:szCs w:val="24"/>
        </w:rPr>
        <w:t>,</w:t>
      </w:r>
      <w:r>
        <w:rPr>
          <w:rFonts w:ascii="Times New Roman" w:hAnsi="Times New Roman" w:cs="Times New Roman"/>
          <w:sz w:val="24"/>
          <w:szCs w:val="24"/>
        </w:rPr>
        <w:t xml:space="preserve"> телефон 064/261-96-79, емаил: </w:t>
      </w:r>
      <w:hyperlink r:id="rId8" w:history="1">
        <w:r>
          <w:rPr>
            <w:rStyle w:val="Hyperlink"/>
            <w:rFonts w:ascii="Times New Roman" w:hAnsi="Times New Roman" w:cs="Times New Roman"/>
            <w:sz w:val="24"/>
            <w:szCs w:val="24"/>
          </w:rPr>
          <w:t>draganb77777@gmail.com</w:t>
        </w:r>
      </w:hyperlink>
    </w:p>
    <w:sectPr w:rsidR="00235219" w:rsidSect="0023521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10B" w:rsidRDefault="007D210B">
      <w:pPr>
        <w:spacing w:line="240" w:lineRule="auto"/>
      </w:pPr>
      <w:r>
        <w:separator/>
      </w:r>
    </w:p>
  </w:endnote>
  <w:endnote w:type="continuationSeparator" w:id="1">
    <w:p w:rsidR="007D210B" w:rsidRDefault="007D21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10B" w:rsidRDefault="007D210B">
      <w:pPr>
        <w:spacing w:after="0"/>
      </w:pPr>
      <w:r>
        <w:separator/>
      </w:r>
    </w:p>
  </w:footnote>
  <w:footnote w:type="continuationSeparator" w:id="1">
    <w:p w:rsidR="007D210B" w:rsidRDefault="007D210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6FD7"/>
    <w:multiLevelType w:val="multilevel"/>
    <w:tmpl w:val="03C3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C582C"/>
    <w:multiLevelType w:val="multilevel"/>
    <w:tmpl w:val="1E5C5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10C18"/>
    <w:multiLevelType w:val="multilevel"/>
    <w:tmpl w:val="1E710C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66F1AAB"/>
    <w:multiLevelType w:val="multilevel"/>
    <w:tmpl w:val="266F1AA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16142BA"/>
    <w:multiLevelType w:val="multilevel"/>
    <w:tmpl w:val="516142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583951FC"/>
    <w:multiLevelType w:val="multilevel"/>
    <w:tmpl w:val="583951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AF529D1"/>
    <w:multiLevelType w:val="multilevel"/>
    <w:tmpl w:val="5AF529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B734572"/>
    <w:multiLevelType w:val="multilevel"/>
    <w:tmpl w:val="7B7345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120F"/>
    <w:rsid w:val="00011AA7"/>
    <w:rsid w:val="000227CF"/>
    <w:rsid w:val="0002501D"/>
    <w:rsid w:val="00027A22"/>
    <w:rsid w:val="00037C2F"/>
    <w:rsid w:val="000410D6"/>
    <w:rsid w:val="000411E9"/>
    <w:rsid w:val="000542EC"/>
    <w:rsid w:val="000902C3"/>
    <w:rsid w:val="000970A5"/>
    <w:rsid w:val="000A5A7F"/>
    <w:rsid w:val="000B0E17"/>
    <w:rsid w:val="000C44A8"/>
    <w:rsid w:val="000C4AF3"/>
    <w:rsid w:val="00100799"/>
    <w:rsid w:val="00112845"/>
    <w:rsid w:val="00127B0C"/>
    <w:rsid w:val="001319F1"/>
    <w:rsid w:val="001520BF"/>
    <w:rsid w:val="00163AE0"/>
    <w:rsid w:val="001673BE"/>
    <w:rsid w:val="001708AB"/>
    <w:rsid w:val="00180B94"/>
    <w:rsid w:val="001844B3"/>
    <w:rsid w:val="001E26A0"/>
    <w:rsid w:val="0023499A"/>
    <w:rsid w:val="00235219"/>
    <w:rsid w:val="00235585"/>
    <w:rsid w:val="00241519"/>
    <w:rsid w:val="00244355"/>
    <w:rsid w:val="00251445"/>
    <w:rsid w:val="00265223"/>
    <w:rsid w:val="002733D1"/>
    <w:rsid w:val="00273EDF"/>
    <w:rsid w:val="00277467"/>
    <w:rsid w:val="00277F01"/>
    <w:rsid w:val="00283F30"/>
    <w:rsid w:val="002974F2"/>
    <w:rsid w:val="002B2038"/>
    <w:rsid w:val="002C178B"/>
    <w:rsid w:val="002C7618"/>
    <w:rsid w:val="002E43A3"/>
    <w:rsid w:val="002E531D"/>
    <w:rsid w:val="002F0450"/>
    <w:rsid w:val="002F517A"/>
    <w:rsid w:val="00310037"/>
    <w:rsid w:val="00313651"/>
    <w:rsid w:val="003142C2"/>
    <w:rsid w:val="00345A0F"/>
    <w:rsid w:val="00354073"/>
    <w:rsid w:val="00360BC3"/>
    <w:rsid w:val="00364E84"/>
    <w:rsid w:val="00367CE5"/>
    <w:rsid w:val="00372D3B"/>
    <w:rsid w:val="0037658F"/>
    <w:rsid w:val="00382A73"/>
    <w:rsid w:val="0039786C"/>
    <w:rsid w:val="003A25C8"/>
    <w:rsid w:val="003B756B"/>
    <w:rsid w:val="003C1238"/>
    <w:rsid w:val="003C1FDB"/>
    <w:rsid w:val="003E139C"/>
    <w:rsid w:val="003E2444"/>
    <w:rsid w:val="00401EB2"/>
    <w:rsid w:val="0042453C"/>
    <w:rsid w:val="00442CE0"/>
    <w:rsid w:val="004630FE"/>
    <w:rsid w:val="0047666A"/>
    <w:rsid w:val="00482DE3"/>
    <w:rsid w:val="00490553"/>
    <w:rsid w:val="004954DD"/>
    <w:rsid w:val="00495C39"/>
    <w:rsid w:val="004A57B4"/>
    <w:rsid w:val="004F104E"/>
    <w:rsid w:val="00520C23"/>
    <w:rsid w:val="00522739"/>
    <w:rsid w:val="00534B92"/>
    <w:rsid w:val="0055536A"/>
    <w:rsid w:val="00564D5C"/>
    <w:rsid w:val="00565BC1"/>
    <w:rsid w:val="00565F65"/>
    <w:rsid w:val="00566955"/>
    <w:rsid w:val="00585B78"/>
    <w:rsid w:val="005B2E5F"/>
    <w:rsid w:val="005C4253"/>
    <w:rsid w:val="005D79A9"/>
    <w:rsid w:val="005F5FA4"/>
    <w:rsid w:val="006113ED"/>
    <w:rsid w:val="00621536"/>
    <w:rsid w:val="00626976"/>
    <w:rsid w:val="00635966"/>
    <w:rsid w:val="00650DA3"/>
    <w:rsid w:val="00663069"/>
    <w:rsid w:val="00696894"/>
    <w:rsid w:val="006B580B"/>
    <w:rsid w:val="006E4DD9"/>
    <w:rsid w:val="006F6AC7"/>
    <w:rsid w:val="007034B9"/>
    <w:rsid w:val="0070711B"/>
    <w:rsid w:val="00745946"/>
    <w:rsid w:val="007474DD"/>
    <w:rsid w:val="00752E95"/>
    <w:rsid w:val="007623BD"/>
    <w:rsid w:val="007661F3"/>
    <w:rsid w:val="00780B1C"/>
    <w:rsid w:val="00783975"/>
    <w:rsid w:val="007968E2"/>
    <w:rsid w:val="007C2925"/>
    <w:rsid w:val="007D210B"/>
    <w:rsid w:val="007E4257"/>
    <w:rsid w:val="007F7C7C"/>
    <w:rsid w:val="00811930"/>
    <w:rsid w:val="00831BE3"/>
    <w:rsid w:val="00832251"/>
    <w:rsid w:val="00834A48"/>
    <w:rsid w:val="0084445F"/>
    <w:rsid w:val="0086292D"/>
    <w:rsid w:val="008816FD"/>
    <w:rsid w:val="008828FD"/>
    <w:rsid w:val="0089303A"/>
    <w:rsid w:val="00893EFE"/>
    <w:rsid w:val="00895D15"/>
    <w:rsid w:val="008A2159"/>
    <w:rsid w:val="008A598D"/>
    <w:rsid w:val="008B1E56"/>
    <w:rsid w:val="008B39A2"/>
    <w:rsid w:val="008D0458"/>
    <w:rsid w:val="008E187B"/>
    <w:rsid w:val="008F1AC0"/>
    <w:rsid w:val="008F6F97"/>
    <w:rsid w:val="009024A9"/>
    <w:rsid w:val="00912181"/>
    <w:rsid w:val="00923B31"/>
    <w:rsid w:val="00927A83"/>
    <w:rsid w:val="009353F6"/>
    <w:rsid w:val="00941569"/>
    <w:rsid w:val="00993A70"/>
    <w:rsid w:val="00994FBA"/>
    <w:rsid w:val="009A07FA"/>
    <w:rsid w:val="009A6DD7"/>
    <w:rsid w:val="009C2BD2"/>
    <w:rsid w:val="009D72AA"/>
    <w:rsid w:val="009E1ADD"/>
    <w:rsid w:val="009E2B4E"/>
    <w:rsid w:val="009F07A8"/>
    <w:rsid w:val="009F08E5"/>
    <w:rsid w:val="009F296F"/>
    <w:rsid w:val="009F7F7C"/>
    <w:rsid w:val="00A01B5D"/>
    <w:rsid w:val="00A072CA"/>
    <w:rsid w:val="00A105ED"/>
    <w:rsid w:val="00A27876"/>
    <w:rsid w:val="00A422BD"/>
    <w:rsid w:val="00A42675"/>
    <w:rsid w:val="00A44A7C"/>
    <w:rsid w:val="00A50D9C"/>
    <w:rsid w:val="00A574AE"/>
    <w:rsid w:val="00A57CE9"/>
    <w:rsid w:val="00A6417E"/>
    <w:rsid w:val="00A742E8"/>
    <w:rsid w:val="00A76DF0"/>
    <w:rsid w:val="00A82E89"/>
    <w:rsid w:val="00A87B7D"/>
    <w:rsid w:val="00AA120F"/>
    <w:rsid w:val="00AA2C95"/>
    <w:rsid w:val="00AA2FA2"/>
    <w:rsid w:val="00AB32B3"/>
    <w:rsid w:val="00AB3B10"/>
    <w:rsid w:val="00AD34BE"/>
    <w:rsid w:val="00AD4DD2"/>
    <w:rsid w:val="00AE6DAB"/>
    <w:rsid w:val="00AF3B59"/>
    <w:rsid w:val="00B04D6A"/>
    <w:rsid w:val="00B10955"/>
    <w:rsid w:val="00B31106"/>
    <w:rsid w:val="00B349D1"/>
    <w:rsid w:val="00B5573A"/>
    <w:rsid w:val="00B57B30"/>
    <w:rsid w:val="00B6761F"/>
    <w:rsid w:val="00B73075"/>
    <w:rsid w:val="00B7340B"/>
    <w:rsid w:val="00B808B8"/>
    <w:rsid w:val="00B83DF6"/>
    <w:rsid w:val="00B91197"/>
    <w:rsid w:val="00BD23DF"/>
    <w:rsid w:val="00BD467A"/>
    <w:rsid w:val="00BE68FC"/>
    <w:rsid w:val="00C00912"/>
    <w:rsid w:val="00C03ECE"/>
    <w:rsid w:val="00C102A4"/>
    <w:rsid w:val="00C22F91"/>
    <w:rsid w:val="00C238F8"/>
    <w:rsid w:val="00C308BA"/>
    <w:rsid w:val="00C44D4C"/>
    <w:rsid w:val="00C44DC5"/>
    <w:rsid w:val="00C540F1"/>
    <w:rsid w:val="00C77DE7"/>
    <w:rsid w:val="00C844C4"/>
    <w:rsid w:val="00C90745"/>
    <w:rsid w:val="00CC5A05"/>
    <w:rsid w:val="00CE1E8C"/>
    <w:rsid w:val="00CF68AE"/>
    <w:rsid w:val="00D10DCE"/>
    <w:rsid w:val="00D11D9D"/>
    <w:rsid w:val="00D274C3"/>
    <w:rsid w:val="00D40061"/>
    <w:rsid w:val="00D417D8"/>
    <w:rsid w:val="00D45598"/>
    <w:rsid w:val="00D57417"/>
    <w:rsid w:val="00D738DC"/>
    <w:rsid w:val="00D9219E"/>
    <w:rsid w:val="00D932A6"/>
    <w:rsid w:val="00DB38D8"/>
    <w:rsid w:val="00DD0956"/>
    <w:rsid w:val="00DF58CA"/>
    <w:rsid w:val="00E011EB"/>
    <w:rsid w:val="00E34C69"/>
    <w:rsid w:val="00E517F8"/>
    <w:rsid w:val="00E64564"/>
    <w:rsid w:val="00E6728A"/>
    <w:rsid w:val="00E67EF9"/>
    <w:rsid w:val="00E75FFE"/>
    <w:rsid w:val="00E81DE5"/>
    <w:rsid w:val="00E9325B"/>
    <w:rsid w:val="00EA2418"/>
    <w:rsid w:val="00EB10B0"/>
    <w:rsid w:val="00EB4D7A"/>
    <w:rsid w:val="00ED64C1"/>
    <w:rsid w:val="00ED6A78"/>
    <w:rsid w:val="00EF23FA"/>
    <w:rsid w:val="00EF70B1"/>
    <w:rsid w:val="00F12F87"/>
    <w:rsid w:val="00F15CD3"/>
    <w:rsid w:val="00F30FDF"/>
    <w:rsid w:val="00F554AD"/>
    <w:rsid w:val="00F73983"/>
    <w:rsid w:val="00F764EF"/>
    <w:rsid w:val="00F86529"/>
    <w:rsid w:val="00F913CD"/>
    <w:rsid w:val="00F91B06"/>
    <w:rsid w:val="00FB4D15"/>
    <w:rsid w:val="00FC0190"/>
    <w:rsid w:val="00FC494E"/>
    <w:rsid w:val="00FD34D8"/>
    <w:rsid w:val="00FE06EA"/>
    <w:rsid w:val="00FE7EF2"/>
    <w:rsid w:val="00FF0668"/>
    <w:rsid w:val="00FF3694"/>
    <w:rsid w:val="00FF507F"/>
    <w:rsid w:val="64107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19"/>
    <w:pPr>
      <w:spacing w:after="0" w:line="240" w:lineRule="auto"/>
    </w:pPr>
    <w:rPr>
      <w:rFonts w:ascii="Tahoma" w:hAnsi="Tahoma" w:cs="Tahoma"/>
      <w:sz w:val="16"/>
      <w:szCs w:val="16"/>
    </w:rPr>
  </w:style>
  <w:style w:type="paragraph" w:styleId="BodyText">
    <w:name w:val="Body Text"/>
    <w:basedOn w:val="Normal"/>
    <w:link w:val="BodyTextChar"/>
    <w:qFormat/>
    <w:rsid w:val="00235219"/>
    <w:pPr>
      <w:spacing w:after="0" w:line="240" w:lineRule="auto"/>
      <w:jc w:val="both"/>
    </w:pPr>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qFormat/>
    <w:rsid w:val="00235219"/>
    <w:rPr>
      <w:color w:val="0000FF" w:themeColor="hyperlink"/>
      <w:u w:val="single"/>
    </w:rPr>
  </w:style>
  <w:style w:type="table" w:styleId="TableGrid">
    <w:name w:val="Table Grid"/>
    <w:basedOn w:val="TableNormal"/>
    <w:uiPriority w:val="59"/>
    <w:qFormat/>
    <w:rsid w:val="002352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219"/>
    <w:pPr>
      <w:ind w:left="720"/>
      <w:contextualSpacing/>
    </w:pPr>
  </w:style>
  <w:style w:type="character" w:customStyle="1" w:styleId="BalloonTextChar">
    <w:name w:val="Balloon Text Char"/>
    <w:basedOn w:val="DefaultParagraphFont"/>
    <w:link w:val="BalloonText"/>
    <w:uiPriority w:val="99"/>
    <w:semiHidden/>
    <w:rsid w:val="00235219"/>
    <w:rPr>
      <w:rFonts w:ascii="Tahoma" w:hAnsi="Tahoma" w:cs="Tahoma"/>
      <w:sz w:val="16"/>
      <w:szCs w:val="16"/>
    </w:rPr>
  </w:style>
  <w:style w:type="character" w:customStyle="1" w:styleId="BodyTextChar">
    <w:name w:val="Body Text Char"/>
    <w:basedOn w:val="DefaultParagraphFont"/>
    <w:link w:val="BodyText"/>
    <w:qFormat/>
    <w:rsid w:val="00235219"/>
    <w:rPr>
      <w:rFonts w:ascii="Times New Roman" w:eastAsia="Times New Roman" w:hAnsi="Times New Roman" w:cs="Times New Roman"/>
      <w:b/>
      <w:color w:val="0000FF"/>
      <w:sz w:val="24"/>
      <w:szCs w:val="24"/>
      <w:lang w:val="sr-Cyrl-CS"/>
    </w:rPr>
  </w:style>
</w:styles>
</file>

<file path=word/webSettings.xml><?xml version="1.0" encoding="utf-8"?>
<w:webSettings xmlns:r="http://schemas.openxmlformats.org/officeDocument/2006/relationships" xmlns:w="http://schemas.openxmlformats.org/wordprocessingml/2006/main">
  <w:divs>
    <w:div w:id="297996250">
      <w:bodyDiv w:val="1"/>
      <w:marLeft w:val="0"/>
      <w:marRight w:val="0"/>
      <w:marTop w:val="0"/>
      <w:marBottom w:val="0"/>
      <w:divBdr>
        <w:top w:val="none" w:sz="0" w:space="0" w:color="auto"/>
        <w:left w:val="none" w:sz="0" w:space="0" w:color="auto"/>
        <w:bottom w:val="none" w:sz="0" w:space="0" w:color="auto"/>
        <w:right w:val="none" w:sz="0" w:space="0" w:color="auto"/>
      </w:divBdr>
    </w:div>
    <w:div w:id="626472639">
      <w:bodyDiv w:val="1"/>
      <w:marLeft w:val="0"/>
      <w:marRight w:val="0"/>
      <w:marTop w:val="0"/>
      <w:marBottom w:val="0"/>
      <w:divBdr>
        <w:top w:val="none" w:sz="0" w:space="0" w:color="auto"/>
        <w:left w:val="none" w:sz="0" w:space="0" w:color="auto"/>
        <w:bottom w:val="none" w:sz="0" w:space="0" w:color="auto"/>
        <w:right w:val="none" w:sz="0" w:space="0" w:color="auto"/>
      </w:divBdr>
    </w:div>
    <w:div w:id="637761742">
      <w:bodyDiv w:val="1"/>
      <w:marLeft w:val="0"/>
      <w:marRight w:val="0"/>
      <w:marTop w:val="0"/>
      <w:marBottom w:val="0"/>
      <w:divBdr>
        <w:top w:val="none" w:sz="0" w:space="0" w:color="auto"/>
        <w:left w:val="none" w:sz="0" w:space="0" w:color="auto"/>
        <w:bottom w:val="none" w:sz="0" w:space="0" w:color="auto"/>
        <w:right w:val="none" w:sz="0" w:space="0" w:color="auto"/>
      </w:divBdr>
    </w:div>
    <w:div w:id="824081500">
      <w:bodyDiv w:val="1"/>
      <w:marLeft w:val="0"/>
      <w:marRight w:val="0"/>
      <w:marTop w:val="0"/>
      <w:marBottom w:val="0"/>
      <w:divBdr>
        <w:top w:val="none" w:sz="0" w:space="0" w:color="auto"/>
        <w:left w:val="none" w:sz="0" w:space="0" w:color="auto"/>
        <w:bottom w:val="none" w:sz="0" w:space="0" w:color="auto"/>
        <w:right w:val="none" w:sz="0" w:space="0" w:color="auto"/>
      </w:divBdr>
    </w:div>
    <w:div w:id="10769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b777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3FAE47-74B4-4C01-990A-517C59E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18</cp:revision>
  <cp:lastPrinted>2024-12-11T09:57:00Z</cp:lastPrinted>
  <dcterms:created xsi:type="dcterms:W3CDTF">2024-06-13T11:23:00Z</dcterms:created>
  <dcterms:modified xsi:type="dcterms:W3CDTF">2024-12-11T10:00:00Z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AEB64B0B01AA4403A01CCFA8DCB6683A_13</vt:lpwstr>
  </property>
</Properties>
</file>